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2FA8" w14:textId="246B23B9" w:rsidR="00EE1B5E" w:rsidRDefault="00CE4BD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B02D5B" w14:textId="77777777" w:rsidR="00EE1B5E" w:rsidRDefault="00EE1B5E">
      <w:pPr>
        <w:spacing w:before="19" w:line="280" w:lineRule="exact"/>
        <w:rPr>
          <w:sz w:val="28"/>
          <w:szCs w:val="28"/>
        </w:rPr>
      </w:pPr>
    </w:p>
    <w:p w14:paraId="52C8B00F" w14:textId="7154B888" w:rsidR="00EE1B5E" w:rsidRDefault="00E4623F">
      <w:pPr>
        <w:spacing w:before="65"/>
        <w:ind w:right="115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8BFF1A" wp14:editId="303160A0">
            <wp:simplePos x="0" y="0"/>
            <wp:positionH relativeFrom="page">
              <wp:posOffset>685800</wp:posOffset>
            </wp:positionH>
            <wp:positionV relativeFrom="paragraph">
              <wp:posOffset>-249555</wp:posOffset>
            </wp:positionV>
            <wp:extent cx="1697990" cy="456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22">
        <w:rPr>
          <w:rFonts w:ascii="Arial" w:eastAsia="Arial" w:hAnsi="Arial" w:cs="Arial"/>
          <w:b/>
          <w:bCs/>
          <w:color w:val="CC0000"/>
          <w:spacing w:val="1"/>
          <w:sz w:val="28"/>
          <w:szCs w:val="28"/>
        </w:rPr>
        <w:t>M</w:t>
      </w:r>
      <w:r w:rsidR="00152822">
        <w:rPr>
          <w:rFonts w:ascii="Arial" w:eastAsia="Arial" w:hAnsi="Arial" w:cs="Arial"/>
          <w:b/>
          <w:bCs/>
          <w:color w:val="CC0000"/>
          <w:spacing w:val="-3"/>
          <w:sz w:val="28"/>
          <w:szCs w:val="28"/>
        </w:rPr>
        <w:t>E</w:t>
      </w:r>
      <w:r w:rsidR="00152822">
        <w:rPr>
          <w:rFonts w:ascii="Arial" w:eastAsia="Arial" w:hAnsi="Arial" w:cs="Arial"/>
          <w:b/>
          <w:bCs/>
          <w:color w:val="CC0000"/>
          <w:spacing w:val="1"/>
          <w:sz w:val="28"/>
          <w:szCs w:val="28"/>
        </w:rPr>
        <w:t>M</w:t>
      </w:r>
      <w:r w:rsidR="00152822">
        <w:rPr>
          <w:rFonts w:ascii="Arial" w:eastAsia="Arial" w:hAnsi="Arial" w:cs="Arial"/>
          <w:b/>
          <w:bCs/>
          <w:color w:val="CC0000"/>
          <w:sz w:val="28"/>
          <w:szCs w:val="28"/>
        </w:rPr>
        <w:t>O</w:t>
      </w:r>
    </w:p>
    <w:p w14:paraId="78170B88" w14:textId="435B5A9D" w:rsidR="00EE1B5E" w:rsidRDefault="00EE1B5E">
      <w:pPr>
        <w:spacing w:before="7" w:line="170" w:lineRule="exact"/>
        <w:rPr>
          <w:sz w:val="17"/>
          <w:szCs w:val="17"/>
        </w:rPr>
      </w:pPr>
    </w:p>
    <w:p w14:paraId="22B01400" w14:textId="57FC0B1B" w:rsidR="00291B37" w:rsidRDefault="00291B37">
      <w:pPr>
        <w:spacing w:before="7" w:line="170" w:lineRule="exact"/>
        <w:rPr>
          <w:sz w:val="17"/>
          <w:szCs w:val="17"/>
        </w:rPr>
      </w:pPr>
    </w:p>
    <w:p w14:paraId="7B42F31B" w14:textId="52754D04" w:rsidR="00291B37" w:rsidRDefault="00291B37">
      <w:pPr>
        <w:spacing w:before="7" w:line="170" w:lineRule="exact"/>
        <w:rPr>
          <w:sz w:val="17"/>
          <w:szCs w:val="17"/>
        </w:rPr>
      </w:pPr>
    </w:p>
    <w:p w14:paraId="7918762E" w14:textId="3A7AB9D9" w:rsidR="00291B37" w:rsidRDefault="00291B37">
      <w:pPr>
        <w:spacing w:before="7" w:line="170" w:lineRule="exact"/>
        <w:rPr>
          <w:sz w:val="17"/>
          <w:szCs w:val="17"/>
        </w:rPr>
      </w:pPr>
    </w:p>
    <w:p w14:paraId="11388C7B" w14:textId="41720B92" w:rsidR="00291B37" w:rsidRDefault="00291B37">
      <w:pPr>
        <w:spacing w:before="7" w:line="170" w:lineRule="exact"/>
        <w:rPr>
          <w:sz w:val="17"/>
          <w:szCs w:val="17"/>
        </w:rPr>
      </w:pPr>
    </w:p>
    <w:p w14:paraId="4F32C56B" w14:textId="77777777" w:rsidR="00291B37" w:rsidRDefault="00291B37">
      <w:pPr>
        <w:spacing w:before="7" w:line="170" w:lineRule="exact"/>
        <w:rPr>
          <w:sz w:val="17"/>
          <w:szCs w:val="17"/>
        </w:rPr>
      </w:pPr>
    </w:p>
    <w:p w14:paraId="272269AD" w14:textId="77777777" w:rsidR="00EE1B5E" w:rsidRPr="0005247F" w:rsidRDefault="00EE1B5E">
      <w:pPr>
        <w:spacing w:line="200" w:lineRule="exact"/>
        <w:rPr>
          <w:b/>
          <w:bCs/>
          <w:sz w:val="20"/>
          <w:szCs w:val="20"/>
        </w:rPr>
      </w:pPr>
    </w:p>
    <w:p w14:paraId="6E3CE2B1" w14:textId="77777777" w:rsidR="00EE1B5E" w:rsidRPr="0005247F" w:rsidRDefault="00152822" w:rsidP="003C2091">
      <w:pPr>
        <w:pStyle w:val="Heading1"/>
        <w:tabs>
          <w:tab w:val="left" w:pos="1360"/>
        </w:tabs>
        <w:spacing w:before="51"/>
        <w:rPr>
          <w:rFonts w:ascii="Arial" w:hAnsi="Arial" w:cs="Arial"/>
          <w:sz w:val="22"/>
          <w:szCs w:val="22"/>
        </w:rPr>
      </w:pPr>
      <w:r w:rsidRPr="0005247F">
        <w:rPr>
          <w:rFonts w:ascii="Arial" w:hAnsi="Arial" w:cs="Arial"/>
          <w:color w:val="1C1C1B"/>
          <w:sz w:val="22"/>
          <w:szCs w:val="22"/>
        </w:rPr>
        <w:t>TO:</w:t>
      </w:r>
      <w:r w:rsidRPr="0005247F">
        <w:rPr>
          <w:rFonts w:ascii="Arial" w:hAnsi="Arial" w:cs="Arial"/>
          <w:color w:val="1C1C1B"/>
          <w:sz w:val="22"/>
          <w:szCs w:val="22"/>
        </w:rPr>
        <w:tab/>
      </w:r>
      <w:r w:rsidRPr="0005247F">
        <w:rPr>
          <w:rFonts w:ascii="Arial" w:hAnsi="Arial" w:cs="Arial"/>
          <w:color w:val="1C1C1B"/>
          <w:spacing w:val="-1"/>
          <w:sz w:val="22"/>
          <w:szCs w:val="22"/>
        </w:rPr>
        <w:t>Va</w:t>
      </w:r>
      <w:r w:rsidRPr="0005247F">
        <w:rPr>
          <w:rFonts w:ascii="Arial" w:hAnsi="Arial" w:cs="Arial"/>
          <w:color w:val="1C1C1B"/>
          <w:spacing w:val="-2"/>
          <w:sz w:val="22"/>
          <w:szCs w:val="22"/>
        </w:rPr>
        <w:t>l</w:t>
      </w:r>
      <w:r w:rsidRPr="0005247F">
        <w:rPr>
          <w:rFonts w:ascii="Arial" w:hAnsi="Arial" w:cs="Arial"/>
          <w:color w:val="1C1C1B"/>
          <w:sz w:val="22"/>
          <w:szCs w:val="22"/>
        </w:rPr>
        <w:t>u</w:t>
      </w:r>
      <w:r w:rsidRPr="0005247F">
        <w:rPr>
          <w:rFonts w:ascii="Arial" w:hAnsi="Arial" w:cs="Arial"/>
          <w:color w:val="1C1C1B"/>
          <w:spacing w:val="-1"/>
          <w:sz w:val="22"/>
          <w:szCs w:val="22"/>
        </w:rPr>
        <w:t>e</w:t>
      </w:r>
      <w:r w:rsidRPr="0005247F">
        <w:rPr>
          <w:rFonts w:ascii="Arial" w:hAnsi="Arial" w:cs="Arial"/>
          <w:color w:val="1C1C1B"/>
          <w:sz w:val="22"/>
          <w:szCs w:val="22"/>
        </w:rPr>
        <w:t xml:space="preserve">d </w:t>
      </w:r>
      <w:r w:rsidRPr="0005247F">
        <w:rPr>
          <w:rFonts w:ascii="Arial" w:hAnsi="Arial" w:cs="Arial"/>
          <w:color w:val="1C1C1B"/>
          <w:spacing w:val="-2"/>
          <w:sz w:val="22"/>
          <w:szCs w:val="22"/>
        </w:rPr>
        <w:t>C</w:t>
      </w:r>
      <w:r w:rsidRPr="0005247F">
        <w:rPr>
          <w:rFonts w:ascii="Arial" w:hAnsi="Arial" w:cs="Arial"/>
          <w:color w:val="1C1C1B"/>
          <w:sz w:val="22"/>
          <w:szCs w:val="22"/>
        </w:rPr>
        <w:t>ustom</w:t>
      </w:r>
      <w:r w:rsidRPr="0005247F">
        <w:rPr>
          <w:rFonts w:ascii="Arial" w:hAnsi="Arial" w:cs="Arial"/>
          <w:color w:val="1C1C1B"/>
          <w:spacing w:val="-2"/>
          <w:sz w:val="22"/>
          <w:szCs w:val="22"/>
        </w:rPr>
        <w:t>e</w:t>
      </w:r>
      <w:r w:rsidRPr="0005247F">
        <w:rPr>
          <w:rFonts w:ascii="Arial" w:hAnsi="Arial" w:cs="Arial"/>
          <w:color w:val="1C1C1B"/>
          <w:sz w:val="22"/>
          <w:szCs w:val="22"/>
        </w:rPr>
        <w:t>r</w:t>
      </w:r>
    </w:p>
    <w:p w14:paraId="30D1A021" w14:textId="77777777" w:rsidR="00EE1B5E" w:rsidRPr="0005247F" w:rsidRDefault="00EE1B5E" w:rsidP="003C2091">
      <w:pPr>
        <w:spacing w:before="8"/>
        <w:rPr>
          <w:rFonts w:ascii="Arial" w:hAnsi="Arial" w:cs="Arial"/>
          <w:b/>
          <w:bCs/>
        </w:rPr>
      </w:pPr>
    </w:p>
    <w:p w14:paraId="1996091F" w14:textId="22EF5FE2" w:rsidR="0005247F" w:rsidRPr="0005247F" w:rsidRDefault="00152822" w:rsidP="0005247F">
      <w:pPr>
        <w:tabs>
          <w:tab w:val="left" w:pos="1360"/>
        </w:tabs>
        <w:ind w:left="460"/>
        <w:rPr>
          <w:rFonts w:ascii="Arial" w:eastAsia="CVS Health Sans" w:hAnsi="Arial" w:cs="Arial"/>
          <w:b/>
          <w:bCs/>
          <w:color w:val="1C1C1B"/>
        </w:rPr>
      </w:pPr>
      <w:r w:rsidRPr="0005247F">
        <w:rPr>
          <w:rFonts w:ascii="Arial" w:eastAsia="CVS Health Sans" w:hAnsi="Arial" w:cs="Arial"/>
          <w:b/>
          <w:bCs/>
          <w:color w:val="1C1C1B"/>
        </w:rPr>
        <w:t>F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R</w:t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>OM</w:t>
      </w:r>
      <w:r w:rsidRPr="0005247F">
        <w:rPr>
          <w:rFonts w:ascii="Arial" w:eastAsia="CVS Health Sans" w:hAnsi="Arial" w:cs="Arial"/>
          <w:b/>
          <w:bCs/>
          <w:color w:val="1C1C1B"/>
        </w:rPr>
        <w:t>:</w:t>
      </w:r>
      <w:r w:rsidRPr="0005247F">
        <w:rPr>
          <w:rFonts w:ascii="Arial" w:eastAsia="CVS Health Sans" w:hAnsi="Arial" w:cs="Arial"/>
          <w:b/>
          <w:bCs/>
          <w:color w:val="1C1C1B"/>
        </w:rPr>
        <w:tab/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>O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m</w:t>
      </w:r>
      <w:r w:rsidRPr="0005247F">
        <w:rPr>
          <w:rFonts w:ascii="Arial" w:eastAsia="CVS Health Sans" w:hAnsi="Arial" w:cs="Arial"/>
          <w:b/>
          <w:bCs/>
          <w:color w:val="1C1C1B"/>
        </w:rPr>
        <w:t>n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i</w:t>
      </w:r>
      <w:r w:rsidRPr="0005247F">
        <w:rPr>
          <w:rFonts w:ascii="Arial" w:eastAsia="CVS Health Sans" w:hAnsi="Arial" w:cs="Arial"/>
          <w:b/>
          <w:bCs/>
          <w:color w:val="1C1C1B"/>
        </w:rPr>
        <w:t>c</w:t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>a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r</w:t>
      </w:r>
      <w:r w:rsidRPr="0005247F">
        <w:rPr>
          <w:rFonts w:ascii="Arial" w:eastAsia="CVS Health Sans" w:hAnsi="Arial" w:cs="Arial"/>
          <w:b/>
          <w:bCs/>
          <w:color w:val="1C1C1B"/>
        </w:rPr>
        <w:t>e</w:t>
      </w:r>
      <w:r w:rsidRPr="0005247F">
        <w:rPr>
          <w:rFonts w:ascii="Arial" w:eastAsia="CVS Health Sans" w:hAnsi="Arial" w:cs="Arial"/>
          <w:b/>
          <w:bCs/>
          <w:color w:val="1C1C1B"/>
          <w:spacing w:val="-3"/>
        </w:rPr>
        <w:t xml:space="preserve"> </w:t>
      </w:r>
      <w:r w:rsidRPr="0005247F">
        <w:rPr>
          <w:rFonts w:ascii="Arial" w:eastAsia="CVS Health Sans" w:hAnsi="Arial" w:cs="Arial"/>
          <w:b/>
          <w:bCs/>
          <w:color w:val="1C1C1B"/>
        </w:rPr>
        <w:t>Cli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ni</w:t>
      </w:r>
      <w:r w:rsidRPr="0005247F">
        <w:rPr>
          <w:rFonts w:ascii="Arial" w:eastAsia="CVS Health Sans" w:hAnsi="Arial" w:cs="Arial"/>
          <w:b/>
          <w:bCs/>
          <w:color w:val="1C1C1B"/>
        </w:rPr>
        <w:t>c</w:t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>a</w:t>
      </w:r>
      <w:r w:rsidRPr="0005247F">
        <w:rPr>
          <w:rFonts w:ascii="Arial" w:eastAsia="CVS Health Sans" w:hAnsi="Arial" w:cs="Arial"/>
          <w:b/>
          <w:bCs/>
          <w:color w:val="1C1C1B"/>
        </w:rPr>
        <w:t>l</w:t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 xml:space="preserve"> </w:t>
      </w:r>
      <w:r w:rsidRPr="0005247F">
        <w:rPr>
          <w:rFonts w:ascii="Arial" w:eastAsia="CVS Health Sans" w:hAnsi="Arial" w:cs="Arial"/>
          <w:b/>
          <w:bCs/>
          <w:color w:val="1C1C1B"/>
        </w:rPr>
        <w:t>Su</w:t>
      </w:r>
      <w:r w:rsidRPr="0005247F">
        <w:rPr>
          <w:rFonts w:ascii="Arial" w:eastAsia="CVS Health Sans" w:hAnsi="Arial" w:cs="Arial"/>
          <w:b/>
          <w:bCs/>
          <w:color w:val="1C1C1B"/>
          <w:spacing w:val="-1"/>
        </w:rPr>
        <w:t>p</w:t>
      </w:r>
      <w:r w:rsidRPr="0005247F">
        <w:rPr>
          <w:rFonts w:ascii="Arial" w:eastAsia="CVS Health Sans" w:hAnsi="Arial" w:cs="Arial"/>
          <w:b/>
          <w:bCs/>
          <w:color w:val="1C1C1B"/>
          <w:spacing w:val="-4"/>
        </w:rPr>
        <w:t>p</w:t>
      </w:r>
      <w:r w:rsidRPr="0005247F">
        <w:rPr>
          <w:rFonts w:ascii="Arial" w:eastAsia="CVS Health Sans" w:hAnsi="Arial" w:cs="Arial"/>
          <w:b/>
          <w:bCs/>
          <w:color w:val="1C1C1B"/>
        </w:rPr>
        <w:t>o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r</w:t>
      </w:r>
      <w:r w:rsidRPr="0005247F">
        <w:rPr>
          <w:rFonts w:ascii="Arial" w:eastAsia="CVS Health Sans" w:hAnsi="Arial" w:cs="Arial"/>
          <w:b/>
          <w:bCs/>
          <w:color w:val="1C1C1B"/>
        </w:rPr>
        <w:t>t S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erv</w:t>
      </w:r>
      <w:r w:rsidRPr="0005247F">
        <w:rPr>
          <w:rFonts w:ascii="Arial" w:eastAsia="CVS Health Sans" w:hAnsi="Arial" w:cs="Arial"/>
          <w:b/>
          <w:bCs/>
          <w:color w:val="1C1C1B"/>
        </w:rPr>
        <w:t>ic</w:t>
      </w:r>
      <w:r w:rsidRPr="0005247F">
        <w:rPr>
          <w:rFonts w:ascii="Arial" w:eastAsia="CVS Health Sans" w:hAnsi="Arial" w:cs="Arial"/>
          <w:b/>
          <w:bCs/>
          <w:color w:val="1C1C1B"/>
          <w:spacing w:val="-2"/>
        </w:rPr>
        <w:t>e</w:t>
      </w:r>
      <w:r w:rsidRPr="0005247F">
        <w:rPr>
          <w:rFonts w:ascii="Arial" w:eastAsia="CVS Health Sans" w:hAnsi="Arial" w:cs="Arial"/>
          <w:b/>
          <w:bCs/>
          <w:color w:val="1C1C1B"/>
        </w:rPr>
        <w:t>s</w:t>
      </w:r>
    </w:p>
    <w:p w14:paraId="543E157A" w14:textId="6CCAC1E2" w:rsidR="0005247F" w:rsidRPr="0005247F" w:rsidRDefault="0005247F" w:rsidP="0005247F">
      <w:pPr>
        <w:tabs>
          <w:tab w:val="left" w:pos="1360"/>
        </w:tabs>
        <w:ind w:left="460"/>
        <w:rPr>
          <w:rFonts w:ascii="Arial" w:eastAsia="CVS Health Sans" w:hAnsi="Arial" w:cs="Arial"/>
          <w:b/>
          <w:bCs/>
          <w:color w:val="1C1C1B"/>
        </w:rPr>
      </w:pPr>
    </w:p>
    <w:p w14:paraId="397CEFC4" w14:textId="2A316618" w:rsidR="0005247F" w:rsidRPr="0005247F" w:rsidRDefault="0005247F" w:rsidP="0005247F">
      <w:pPr>
        <w:tabs>
          <w:tab w:val="left" w:pos="1360"/>
        </w:tabs>
        <w:ind w:left="460"/>
        <w:rPr>
          <w:rFonts w:ascii="Arial" w:eastAsia="CVS Health Sans" w:hAnsi="Arial" w:cs="Arial"/>
          <w:b/>
          <w:bCs/>
          <w:color w:val="1C1C1B"/>
        </w:rPr>
      </w:pPr>
      <w:r w:rsidRPr="0005247F">
        <w:rPr>
          <w:rFonts w:ascii="Arial" w:eastAsia="CVS Health Sans" w:hAnsi="Arial" w:cs="Arial"/>
          <w:b/>
          <w:bCs/>
          <w:color w:val="1C1C1B"/>
        </w:rPr>
        <w:t xml:space="preserve">RE: </w:t>
      </w:r>
      <w:r w:rsidRPr="0005247F">
        <w:rPr>
          <w:rFonts w:ascii="Arial" w:eastAsia="CVS Health Sans" w:hAnsi="Arial" w:cs="Arial"/>
          <w:b/>
          <w:bCs/>
          <w:color w:val="1C1C1B"/>
        </w:rPr>
        <w:tab/>
        <w:t>Shortage of Generic Tamiflu</w:t>
      </w:r>
      <w:r>
        <w:rPr>
          <w:rFonts w:ascii="Arial" w:eastAsia="CVS Health Sans" w:hAnsi="Arial" w:cs="Arial"/>
          <w:b/>
          <w:bCs/>
          <w:color w:val="1C1C1B"/>
        </w:rPr>
        <w:t>®</w:t>
      </w:r>
    </w:p>
    <w:p w14:paraId="25B377E4" w14:textId="710B31BA" w:rsidR="0005247F" w:rsidRPr="0005247F" w:rsidRDefault="0005247F" w:rsidP="0005247F">
      <w:pPr>
        <w:tabs>
          <w:tab w:val="left" w:pos="1360"/>
        </w:tabs>
        <w:ind w:left="460"/>
        <w:rPr>
          <w:rFonts w:ascii="Arial" w:eastAsia="CVS Health Sans" w:hAnsi="Arial" w:cs="Arial"/>
          <w:b/>
          <w:bCs/>
        </w:rPr>
      </w:pPr>
    </w:p>
    <w:p w14:paraId="557FACD9" w14:textId="24C9209E" w:rsidR="0005247F" w:rsidRPr="0005247F" w:rsidRDefault="0005247F" w:rsidP="0005247F">
      <w:pPr>
        <w:tabs>
          <w:tab w:val="left" w:pos="1360"/>
        </w:tabs>
        <w:ind w:left="460"/>
        <w:rPr>
          <w:rFonts w:ascii="Arial" w:eastAsia="CVS Health Sans" w:hAnsi="Arial" w:cs="Arial"/>
          <w:b/>
          <w:bCs/>
        </w:rPr>
      </w:pPr>
      <w:r w:rsidRPr="0005247F">
        <w:rPr>
          <w:rFonts w:ascii="Arial" w:eastAsia="CVS Health Sans" w:hAnsi="Arial" w:cs="Arial"/>
          <w:b/>
          <w:bCs/>
        </w:rPr>
        <w:t xml:space="preserve">DATE: </w:t>
      </w:r>
      <w:r w:rsidRPr="0005247F">
        <w:rPr>
          <w:rFonts w:ascii="Arial" w:eastAsia="CVS Health Sans" w:hAnsi="Arial" w:cs="Arial"/>
          <w:b/>
          <w:bCs/>
        </w:rPr>
        <w:tab/>
        <w:t>December 1, 2022</w:t>
      </w:r>
      <w:r w:rsidRPr="0005247F">
        <w:rPr>
          <w:rFonts w:ascii="Arial" w:eastAsia="CVS Health Sans" w:hAnsi="Arial" w:cs="Arial"/>
          <w:b/>
          <w:bCs/>
        </w:rPr>
        <w:tab/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2091" w14:paraId="61BC384A" w14:textId="77777777" w:rsidTr="003C2091">
        <w:trPr>
          <w:jc w:val="center"/>
        </w:trPr>
        <w:tc>
          <w:tcPr>
            <w:tcW w:w="0" w:type="auto"/>
            <w:vAlign w:val="center"/>
            <w:hideMark/>
          </w:tcPr>
          <w:p w14:paraId="621E4EB2" w14:textId="77777777" w:rsidR="00291B37" w:rsidRDefault="00291B37"/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C2091" w14:paraId="159E4E4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CC6A7E" w14:textId="77777777" w:rsidR="00291B37" w:rsidRPr="00291B37" w:rsidRDefault="00291B37">
                  <w:pPr>
                    <w:rPr>
                      <w:rFonts w:ascii="CVS Health Sans" w:hAnsi="CVS Health San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2091" w:rsidRPr="00291B37" w14:paraId="4A235A9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2091" w:rsidRPr="0005247F" w14:paraId="6C81FF8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4C43B368" w14:textId="3D6DE9BF" w:rsidR="0005247F" w:rsidRDefault="0005247F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High demand of oseltamivir oral suspension and </w:t>
                              </w:r>
                              <w:r w:rsidR="001340E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capsules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has been driving availability issues across certain areas of the country. Oseltam</w:t>
                              </w:r>
                              <w:r w:rsidR="008A2442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vir is one of several t</w:t>
                              </w:r>
                              <w:r w:rsidR="0043347C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herapeutic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options available to treat and prevent influenza. </w:t>
                              </w:r>
                            </w:p>
                            <w:p w14:paraId="6A36462B" w14:textId="164EEF3D" w:rsidR="0087227C" w:rsidRPr="0005247F" w:rsidRDefault="00CC0C49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Omnicare is monitoring current supply within our pharmacies to ensure treatment options are </w:t>
                              </w:r>
                              <w:r w:rsidR="0087227C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available, and our clinical teams are prepared to support prescribers with dosing guidelines and drug information for alternatives. Health care providers </w:t>
                              </w:r>
                              <w:r w:rsidR="001340E6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may </w:t>
                              </w:r>
                              <w:r w:rsidR="0087227C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use other </w:t>
                              </w:r>
                              <w:r w:rsidR="0087227C" w:rsidRPr="0005247F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approved or authorized products</w:t>
                              </w:r>
                              <w:r w:rsidR="0087227C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that are available.</w:t>
                              </w:r>
                              <w:r w:rsidR="00291B37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 Click </w:t>
                              </w:r>
                              <w:hyperlink r:id="rId9" w:history="1">
                                <w:r w:rsidR="00291B37" w:rsidRPr="0005247F">
                                  <w:rPr>
                                    <w:rStyle w:val="Hyperlink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HERE</w:t>
                                </w:r>
                              </w:hyperlink>
                              <w:r w:rsidR="00291B37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for more information.</w:t>
                              </w:r>
                            </w:p>
                            <w:p w14:paraId="53157D40" w14:textId="0CE2D6FB" w:rsidR="003C2091" w:rsidRPr="0005247F" w:rsidRDefault="0087227C" w:rsidP="008722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We strongly encourag</w:t>
                              </w:r>
                              <w:r w:rsidR="00EF288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facilities to </w:t>
                              </w:r>
                              <w:r w:rsidR="00EF288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contact their</w:t>
                              </w: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local Omnicare pharmacy, prior to ordering Tamiflu (oseltamivir), to determine the availability in </w:t>
                              </w:r>
                              <w:r w:rsidR="00EF288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their </w:t>
                              </w: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area.  </w:t>
                              </w:r>
                              <w:r w:rsidR="00C50CBF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05EB63D" w14:textId="3304ADEE" w:rsidR="0087227C" w:rsidRPr="0005247F" w:rsidRDefault="0087227C" w:rsidP="008722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Please contact your local Omnicar</w:t>
                              </w:r>
                              <w:r w:rsidR="000E5BEE" w:rsidRPr="0005247F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e representative if you need additional information. </w:t>
                              </w:r>
                            </w:p>
                          </w:tc>
                        </w:tr>
                      </w:tbl>
                      <w:p w14:paraId="5234AED1" w14:textId="77777777" w:rsidR="003C2091" w:rsidRPr="00291B37" w:rsidRDefault="003C2091">
                        <w:pPr>
                          <w:jc w:val="center"/>
                          <w:rPr>
                            <w:rFonts w:ascii="CVS Health Sans" w:eastAsia="Times New Roman" w:hAnsi="CVS Health Sans" w:cs="Times New Roman"/>
                          </w:rPr>
                        </w:pPr>
                      </w:p>
                    </w:tc>
                  </w:tr>
                </w:tbl>
                <w:p w14:paraId="49567A4A" w14:textId="77777777" w:rsidR="003C2091" w:rsidRDefault="003C20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2D30F6" w14:textId="77777777" w:rsidR="003C2091" w:rsidRDefault="003C20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565F1E" w14:textId="7782427B" w:rsidR="00EE1B5E" w:rsidRDefault="00EE1B5E" w:rsidP="00C50CBF">
      <w:pPr>
        <w:pStyle w:val="BodyText"/>
        <w:tabs>
          <w:tab w:val="left" w:pos="1057"/>
        </w:tabs>
        <w:spacing w:before="1"/>
        <w:ind w:left="697" w:firstLine="0"/>
        <w:jc w:val="center"/>
      </w:pPr>
    </w:p>
    <w:sectPr w:rsidR="00EE1B5E">
      <w:type w:val="continuous"/>
      <w:pgSz w:w="12240" w:h="15840"/>
      <w:pgMar w:top="70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C487" w14:textId="77777777" w:rsidR="0069072E" w:rsidRDefault="0069072E" w:rsidP="00152822">
      <w:r>
        <w:separator/>
      </w:r>
    </w:p>
  </w:endnote>
  <w:endnote w:type="continuationSeparator" w:id="0">
    <w:p w14:paraId="0291923C" w14:textId="77777777" w:rsidR="0069072E" w:rsidRDefault="0069072E" w:rsidP="001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515" w14:textId="77777777" w:rsidR="0069072E" w:rsidRDefault="0069072E" w:rsidP="00152822">
      <w:r>
        <w:separator/>
      </w:r>
    </w:p>
  </w:footnote>
  <w:footnote w:type="continuationSeparator" w:id="0">
    <w:p w14:paraId="25B3964D" w14:textId="77777777" w:rsidR="0069072E" w:rsidRDefault="0069072E" w:rsidP="0015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E7A"/>
    <w:multiLevelType w:val="multilevel"/>
    <w:tmpl w:val="91560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71ACD"/>
    <w:multiLevelType w:val="hybridMultilevel"/>
    <w:tmpl w:val="BFFEEF3A"/>
    <w:lvl w:ilvl="0" w:tplc="47CEF7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AE82886">
      <w:start w:val="1"/>
      <w:numFmt w:val="bullet"/>
      <w:lvlText w:val="•"/>
      <w:lvlJc w:val="left"/>
      <w:rPr>
        <w:rFonts w:hint="default"/>
      </w:rPr>
    </w:lvl>
    <w:lvl w:ilvl="2" w:tplc="23ACD2A0">
      <w:start w:val="1"/>
      <w:numFmt w:val="bullet"/>
      <w:lvlText w:val="•"/>
      <w:lvlJc w:val="left"/>
      <w:rPr>
        <w:rFonts w:hint="default"/>
      </w:rPr>
    </w:lvl>
    <w:lvl w:ilvl="3" w:tplc="EA26771C">
      <w:start w:val="1"/>
      <w:numFmt w:val="bullet"/>
      <w:lvlText w:val="•"/>
      <w:lvlJc w:val="left"/>
      <w:rPr>
        <w:rFonts w:hint="default"/>
      </w:rPr>
    </w:lvl>
    <w:lvl w:ilvl="4" w:tplc="F5EE2D70">
      <w:start w:val="1"/>
      <w:numFmt w:val="bullet"/>
      <w:lvlText w:val="•"/>
      <w:lvlJc w:val="left"/>
      <w:rPr>
        <w:rFonts w:hint="default"/>
      </w:rPr>
    </w:lvl>
    <w:lvl w:ilvl="5" w:tplc="9AF4FACA">
      <w:start w:val="1"/>
      <w:numFmt w:val="bullet"/>
      <w:lvlText w:val="•"/>
      <w:lvlJc w:val="left"/>
      <w:rPr>
        <w:rFonts w:hint="default"/>
      </w:rPr>
    </w:lvl>
    <w:lvl w:ilvl="6" w:tplc="AD04F722">
      <w:start w:val="1"/>
      <w:numFmt w:val="bullet"/>
      <w:lvlText w:val="•"/>
      <w:lvlJc w:val="left"/>
      <w:rPr>
        <w:rFonts w:hint="default"/>
      </w:rPr>
    </w:lvl>
    <w:lvl w:ilvl="7" w:tplc="8616A306">
      <w:start w:val="1"/>
      <w:numFmt w:val="bullet"/>
      <w:lvlText w:val="•"/>
      <w:lvlJc w:val="left"/>
      <w:rPr>
        <w:rFonts w:hint="default"/>
      </w:rPr>
    </w:lvl>
    <w:lvl w:ilvl="8" w:tplc="CDF49E9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E"/>
    <w:rsid w:val="000340BA"/>
    <w:rsid w:val="0005247F"/>
    <w:rsid w:val="000E5BEE"/>
    <w:rsid w:val="001340E6"/>
    <w:rsid w:val="00152822"/>
    <w:rsid w:val="00164E86"/>
    <w:rsid w:val="00291B37"/>
    <w:rsid w:val="003C2091"/>
    <w:rsid w:val="0043347C"/>
    <w:rsid w:val="00574526"/>
    <w:rsid w:val="006846D6"/>
    <w:rsid w:val="0069072E"/>
    <w:rsid w:val="007D0923"/>
    <w:rsid w:val="0087227C"/>
    <w:rsid w:val="008A2442"/>
    <w:rsid w:val="009930D9"/>
    <w:rsid w:val="00C50CBF"/>
    <w:rsid w:val="00CC0C49"/>
    <w:rsid w:val="00CE4BDE"/>
    <w:rsid w:val="00DC497B"/>
    <w:rsid w:val="00DD0422"/>
    <w:rsid w:val="00E4623F"/>
    <w:rsid w:val="00EE1B5E"/>
    <w:rsid w:val="00EF288F"/>
    <w:rsid w:val="00FE784D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7B988"/>
  <w15:docId w15:val="{D7FE6AFE-C9D6-49C7-A476-FF3BE77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VS Health Sans" w:eastAsia="CVS Health Sans" w:hAnsi="CVS Health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0" w:hanging="360"/>
    </w:pPr>
    <w:rPr>
      <w:rFonts w:ascii="CVS Health Sans" w:eastAsia="CVS Health Sans" w:hAnsi="CVS Health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20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091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3C2091"/>
  </w:style>
  <w:style w:type="character" w:customStyle="1" w:styleId="spellingerror">
    <w:name w:val="spellingerror"/>
    <w:basedOn w:val="DefaultParagraphFont"/>
    <w:rsid w:val="003C2091"/>
  </w:style>
  <w:style w:type="character" w:customStyle="1" w:styleId="eop">
    <w:name w:val="eop"/>
    <w:basedOn w:val="DefaultParagraphFont"/>
    <w:rsid w:val="003C2091"/>
  </w:style>
  <w:style w:type="character" w:styleId="Strong">
    <w:name w:val="Strong"/>
    <w:basedOn w:val="DefaultParagraphFont"/>
    <w:uiPriority w:val="22"/>
    <w:qFormat/>
    <w:rsid w:val="003C20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20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omnicare.com/rs/095-VIX-581/images/Antiviral%20Agents%20Used%20for%20Influenza%20Treatment%20and%20Prevention_Sept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6A57-D17A-4750-8691-586F630A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Vorpe, Dylan M</dc:creator>
  <cp:lastModifiedBy>Boehm, Dina</cp:lastModifiedBy>
  <cp:revision>3</cp:revision>
  <dcterms:created xsi:type="dcterms:W3CDTF">2022-12-09T18:43:00Z</dcterms:created>
  <dcterms:modified xsi:type="dcterms:W3CDTF">2022-12-09T18:43:00Z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2022-11-30T00:00:00Z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2022-11-30T21:15:43Z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384e845e-c2ed-4a50-980f-82f7dbb8acf7</vt:lpwstr>
  </property>
  <property fmtid="{D5CDD505-2E9C-101B-9397-08002B2CF9AE}" pid="10" name="MSIP_Label_67599526-06ca-49cc-9fa9-5307800a949a_ContentBits">
    <vt:lpwstr>0</vt:lpwstr>
  </property>
</Properties>
</file>